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FF529E">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FF529E">
        <w:rPr>
          <w:rFonts w:asciiTheme="minorBidi" w:hAnsiTheme="minorBidi" w:cstheme="minorBidi"/>
          <w:b/>
          <w:bCs/>
          <w:sz w:val="28"/>
          <w:szCs w:val="28"/>
        </w:rPr>
        <w:t>8</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171CFD" w:rsidRPr="003D2E50" w:rsidRDefault="003D2E50" w:rsidP="00FF529E">
      <w:pPr>
        <w:widowControl w:val="0"/>
        <w:autoSpaceDE w:val="0"/>
        <w:autoSpaceDN w:val="0"/>
        <w:adjustRightInd w:val="0"/>
        <w:spacing w:line="403" w:lineRule="atLeast"/>
        <w:jc w:val="center"/>
        <w:rPr>
          <w:rFonts w:asciiTheme="minorBidi" w:hAnsiTheme="minorBidi" w:cstheme="minorBidi"/>
          <w:b/>
          <w:bCs/>
          <w:sz w:val="28"/>
          <w:szCs w:val="28"/>
          <w:u w:val="single"/>
        </w:rPr>
      </w:pPr>
      <w:r w:rsidRPr="003D2E50">
        <w:rPr>
          <w:rFonts w:asciiTheme="minorBidi" w:hAnsiTheme="minorBidi" w:cstheme="minorBidi"/>
          <w:b/>
          <w:bCs/>
          <w:sz w:val="28"/>
          <w:szCs w:val="28"/>
          <w:u w:val="single"/>
        </w:rPr>
        <w:t xml:space="preserve">CONSULTATION </w:t>
      </w:r>
      <w:r w:rsidR="00FF529E">
        <w:rPr>
          <w:rFonts w:asciiTheme="minorBidi" w:hAnsiTheme="minorBidi" w:cstheme="minorBidi"/>
          <w:b/>
          <w:bCs/>
          <w:sz w:val="28"/>
          <w:szCs w:val="28"/>
          <w:u w:val="single"/>
        </w:rPr>
        <w:t>11/2018</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171CFD" w:rsidRPr="0048683E" w:rsidRDefault="00171CFD" w:rsidP="00F85A09">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F85A09">
        <w:rPr>
          <w:rFonts w:asciiTheme="minorBidi" w:hAnsiTheme="minorBidi" w:cstheme="minorBidi"/>
          <w:b/>
          <w:bCs/>
          <w:sz w:val="32"/>
          <w:szCs w:val="32"/>
        </w:rPr>
        <w:t>DE MOBILIER</w:t>
      </w:r>
      <w:r w:rsidR="003D2E50">
        <w:rPr>
          <w:rFonts w:asciiTheme="minorBidi" w:hAnsiTheme="minorBidi" w:cstheme="minorBidi"/>
          <w:b/>
          <w:bCs/>
          <w:sz w:val="32"/>
          <w:szCs w:val="32"/>
        </w:rPr>
        <w:t xml:space="preserve"> PEDAGOGIQUE</w:t>
      </w:r>
    </w:p>
    <w:p w:rsidR="00171CFD" w:rsidRPr="00FF529E" w:rsidRDefault="00FF529E" w:rsidP="00171CFD">
      <w:pPr>
        <w:widowControl w:val="0"/>
        <w:autoSpaceDE w:val="0"/>
        <w:autoSpaceDN w:val="0"/>
        <w:adjustRightInd w:val="0"/>
        <w:spacing w:line="403" w:lineRule="atLeast"/>
        <w:jc w:val="center"/>
        <w:rPr>
          <w:rFonts w:asciiTheme="minorBidi" w:hAnsiTheme="minorBidi" w:cstheme="minorBidi"/>
          <w:b/>
          <w:bCs/>
          <w:sz w:val="32"/>
          <w:szCs w:val="32"/>
        </w:rPr>
      </w:pPr>
      <w:r w:rsidRPr="00FF529E">
        <w:rPr>
          <w:rFonts w:asciiTheme="minorBidi" w:hAnsiTheme="minorBidi" w:cstheme="minorBidi"/>
          <w:b/>
          <w:bCs/>
          <w:sz w:val="32"/>
          <w:szCs w:val="32"/>
        </w:rPr>
        <w:t>(TABOURETS POUR LES LABORATOIRES)</w:t>
      </w:r>
    </w:p>
    <w:p w:rsidR="00AE4CA1" w:rsidRPr="00FF529E" w:rsidRDefault="00AE4CA1" w:rsidP="0017779F">
      <w:pPr>
        <w:widowControl w:val="0"/>
        <w:autoSpaceDE w:val="0"/>
        <w:autoSpaceDN w:val="0"/>
        <w:adjustRightInd w:val="0"/>
        <w:spacing w:line="384" w:lineRule="atLeast"/>
        <w:jc w:val="center"/>
        <w:rPr>
          <w:rFonts w:asciiTheme="minorBidi" w:hAnsiTheme="minorBidi" w:cstheme="minorBidi"/>
          <w:b/>
          <w:bCs/>
          <w:sz w:val="32"/>
          <w:szCs w:val="32"/>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DC1F9D" w:rsidRDefault="00DC1F9D" w:rsidP="00FF529E">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FF529E">
        <w:rPr>
          <w:rFonts w:asciiTheme="minorBidi" w:hAnsiTheme="minorBidi" w:cstheme="minorBidi"/>
          <w:b/>
          <w:bCs/>
        </w:rPr>
        <w:t>MAI 2018</w:t>
      </w:r>
    </w:p>
    <w:p w:rsidR="003B5A68" w:rsidRDefault="003B5A68"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Pr="002A1A72" w:rsidRDefault="003D2E50"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877AFF"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877AFF"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877AFF"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DC1F9D" w:rsidRDefault="006D5A88" w:rsidP="00F85A09">
      <w:pPr>
        <w:widowControl w:val="0"/>
        <w:autoSpaceDE w:val="0"/>
        <w:autoSpaceDN w:val="0"/>
        <w:adjustRightInd w:val="0"/>
        <w:spacing w:line="403" w:lineRule="atLeast"/>
        <w:rPr>
          <w:rFonts w:asciiTheme="majorBidi" w:hAnsiTheme="majorBidi" w:cstheme="majorBidi"/>
          <w:b/>
          <w:bCs/>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DC1F9D" w:rsidRPr="00F6641E">
        <w:rPr>
          <w:rFonts w:asciiTheme="majorBidi" w:hAnsiTheme="majorBidi" w:cstheme="majorBidi"/>
          <w:b/>
          <w:bCs/>
        </w:rPr>
        <w:t>A</w:t>
      </w:r>
      <w:r w:rsidR="00DC1F9D">
        <w:rPr>
          <w:rFonts w:asciiTheme="majorBidi" w:hAnsiTheme="majorBidi" w:cstheme="majorBidi"/>
          <w:b/>
          <w:bCs/>
        </w:rPr>
        <w:t xml:space="preserve">cquisition </w:t>
      </w:r>
      <w:r w:rsidR="00F85A09">
        <w:rPr>
          <w:rFonts w:asciiTheme="majorBidi" w:hAnsiTheme="majorBidi" w:cstheme="majorBidi"/>
          <w:b/>
          <w:bCs/>
        </w:rPr>
        <w:t>de mobilier</w:t>
      </w:r>
      <w:r w:rsidR="003D2E50">
        <w:rPr>
          <w:rFonts w:asciiTheme="majorBidi" w:hAnsiTheme="majorBidi" w:cstheme="majorBidi"/>
          <w:b/>
          <w:bCs/>
        </w:rPr>
        <w:t xml:space="preserve"> pédagogique</w:t>
      </w:r>
      <w:r w:rsidR="00FF529E">
        <w:rPr>
          <w:rFonts w:asciiTheme="majorBidi" w:hAnsiTheme="majorBidi" w:cstheme="majorBidi"/>
          <w:b/>
          <w:bCs/>
        </w:rPr>
        <w:t xml:space="preserve"> (Tabourets)</w:t>
      </w:r>
    </w:p>
    <w:p w:rsidR="006D5A88" w:rsidRPr="006D5A88" w:rsidRDefault="006D5A88" w:rsidP="006D5A88">
      <w:pPr>
        <w:autoSpaceDE w:val="0"/>
        <w:autoSpaceDN w:val="0"/>
        <w:adjustRightInd w:val="0"/>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877AFF"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877AFF"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877AFF"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877AFF"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877AFF"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877AFF"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3D2E50">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D2E50">
        <w:rPr>
          <w:rFonts w:eastAsia="Calibri"/>
          <w:lang w:eastAsia="en-US"/>
        </w:rPr>
        <w:t>de la consultation</w:t>
      </w:r>
      <w:r w:rsidRPr="006D5A88">
        <w:rPr>
          <w:rFonts w:eastAsia="Calibri"/>
          <w:lang w:eastAsia="en-US"/>
        </w:rPr>
        <w:t>:…………………………………………………...............................................</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877AFF"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877AFF"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877AFF"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DC1F9D">
      <w:pPr>
        <w:ind w:right="281"/>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643E6C" w:rsidRPr="00C4175C" w:rsidRDefault="00EB61BF" w:rsidP="003D2E50">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F85A09">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F85A09">
        <w:rPr>
          <w:rFonts w:asciiTheme="minorBidi" w:hAnsiTheme="minorBidi" w:cstheme="minorBidi"/>
          <w:b/>
        </w:rPr>
        <w:t>de mobilier</w:t>
      </w:r>
      <w:r w:rsidR="003D2E50">
        <w:rPr>
          <w:rFonts w:asciiTheme="minorBidi" w:hAnsiTheme="minorBidi" w:cstheme="minorBidi"/>
          <w:b/>
        </w:rPr>
        <w:t xml:space="preserve"> pédagogique</w:t>
      </w:r>
      <w:r w:rsidR="00F85A09">
        <w:rPr>
          <w:rFonts w:asciiTheme="minorBidi" w:hAnsiTheme="minorBidi" w:cstheme="minorBidi"/>
          <w:b/>
        </w:rPr>
        <w:t xml:space="preserve"> »</w:t>
      </w:r>
    </w:p>
    <w:p w:rsidR="00AC308B" w:rsidRPr="00530400" w:rsidRDefault="00AC308B" w:rsidP="003D2E50">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061A59" w:rsidRDefault="00061A59"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F85A09" w:rsidRDefault="00F85A09"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lastRenderedPageBreak/>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8E1FDC">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37</w:t>
      </w:r>
      <w:r w:rsidRPr="00643E6C">
        <w:rPr>
          <w:rFonts w:asciiTheme="minorBidi" w:hAnsiTheme="minorBidi" w:cstheme="minorBidi"/>
          <w:b/>
          <w:bCs/>
          <w:i/>
          <w:iCs/>
          <w:u w:val="single"/>
        </w:rPr>
        <w:t xml:space="preserve"> </w:t>
      </w:r>
      <w:r w:rsidR="00FF529E">
        <w:rPr>
          <w:rFonts w:asciiTheme="minorBidi" w:hAnsiTheme="minorBidi" w:cstheme="minorBidi"/>
          <w:b/>
          <w:bCs/>
          <w:i/>
          <w:iCs/>
          <w:u w:val="single"/>
        </w:rPr>
        <w:t>10/</w:t>
      </w:r>
      <w:r w:rsidR="008E1FDC">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DC1F9D" w:rsidRDefault="00DC1F9D" w:rsidP="0053241F">
      <w:pPr>
        <w:spacing w:line="276" w:lineRule="auto"/>
        <w:rPr>
          <w:rFonts w:asciiTheme="minorBidi" w:hAnsiTheme="minorBidi" w:cstheme="minorBidi"/>
          <w:b/>
          <w:bCs/>
          <w:sz w:val="28"/>
          <w:szCs w:val="28"/>
          <w:u w:val="single"/>
        </w:rPr>
      </w:pPr>
    </w:p>
    <w:p w:rsidR="00F85A09" w:rsidRDefault="00F85A09" w:rsidP="0053241F">
      <w:pPr>
        <w:spacing w:line="276" w:lineRule="auto"/>
        <w:rPr>
          <w:rFonts w:asciiTheme="minorBidi" w:hAnsiTheme="minorBidi" w:cstheme="minorBidi"/>
          <w:b/>
          <w:bCs/>
          <w:sz w:val="28"/>
          <w:szCs w:val="28"/>
          <w:u w:val="single"/>
        </w:rPr>
      </w:pPr>
    </w:p>
    <w:p w:rsidR="00DC1F9D" w:rsidRDefault="00DC1F9D" w:rsidP="0053241F">
      <w:pPr>
        <w:spacing w:line="276" w:lineRule="auto"/>
        <w:rPr>
          <w:rFonts w:asciiTheme="minorBidi" w:hAnsiTheme="minorBidi" w:cstheme="minorBidi"/>
          <w:b/>
          <w:bCs/>
          <w:sz w:val="28"/>
          <w:szCs w:val="28"/>
          <w:u w:val="single"/>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FC4781">
      <w:pPr>
        <w:jc w:val="center"/>
        <w:rPr>
          <w:rFonts w:asciiTheme="minorBidi" w:hAnsiTheme="minorBidi" w:cstheme="minorBidi"/>
          <w:b/>
          <w:bCs/>
        </w:rPr>
      </w:pPr>
      <w:r w:rsidRPr="00397058">
        <w:rPr>
          <w:rFonts w:asciiTheme="minorBidi" w:hAnsiTheme="minorBidi" w:cstheme="minorBidi"/>
          <w:b/>
          <w:bCs/>
        </w:rPr>
        <w:t>Consultation   N°</w:t>
      </w:r>
      <w:r w:rsidR="00FC4781">
        <w:rPr>
          <w:rFonts w:asciiTheme="minorBidi" w:hAnsiTheme="minorBidi" w:cstheme="minorBidi"/>
          <w:b/>
          <w:bCs/>
        </w:rPr>
        <w:t>11/2018</w:t>
      </w:r>
    </w:p>
    <w:p w:rsidR="008B44C1" w:rsidRPr="009F617F" w:rsidRDefault="008B44C1" w:rsidP="00F85A09">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w:t>
      </w:r>
      <w:r w:rsidR="00F85A09">
        <w:rPr>
          <w:rFonts w:asciiTheme="minorBidi" w:hAnsiTheme="minorBidi" w:cstheme="minorBidi"/>
        </w:rPr>
        <w:t>de mobilier</w:t>
      </w:r>
      <w:r w:rsidR="003D2E50">
        <w:rPr>
          <w:rFonts w:asciiTheme="minorBidi" w:hAnsiTheme="minorBidi" w:cstheme="minorBidi"/>
        </w:rPr>
        <w:t xml:space="preserve"> pédagogique</w:t>
      </w:r>
      <w:r w:rsidRPr="009F617F">
        <w:rPr>
          <w:rFonts w:asciiTheme="minorBidi" w:hAnsiTheme="minorBidi" w:cstheme="minorBidi"/>
        </w:rPr>
        <w:t>»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A02583">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Pr="006647D1">
        <w:rPr>
          <w:rFonts w:asciiTheme="minorBidi" w:hAnsiTheme="minorBidi" w:cstheme="minorBidi"/>
          <w:b/>
          <w:bCs/>
        </w:rPr>
        <w:t>(</w:t>
      </w:r>
      <w:r w:rsidR="00A02583">
        <w:rPr>
          <w:rFonts w:asciiTheme="minorBidi" w:hAnsiTheme="minorBidi" w:cstheme="minorBidi"/>
          <w:b/>
          <w:bCs/>
        </w:rPr>
        <w:t>11</w:t>
      </w:r>
      <w:r w:rsidRPr="006647D1">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877AFF" w:rsidP="0053241F">
      <w:pPr>
        <w:jc w:val="both"/>
        <w:rPr>
          <w:rFonts w:asciiTheme="minorBidi" w:hAnsiTheme="minorBidi" w:cstheme="minorBidi"/>
          <w:sz w:val="26"/>
          <w:szCs w:val="26"/>
        </w:rPr>
      </w:pPr>
      <w:r w:rsidRPr="00877AFF">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6647D1" w:rsidRDefault="009D73CE" w:rsidP="00A02583">
                  <w:pPr>
                    <w:rPr>
                      <w:b/>
                      <w:bCs/>
                      <w:sz w:val="28"/>
                      <w:szCs w:val="28"/>
                    </w:rPr>
                  </w:pPr>
                  <w:r w:rsidRPr="003D2E50">
                    <w:rPr>
                      <w:b/>
                      <w:bCs/>
                      <w:color w:val="FF0000"/>
                      <w:sz w:val="28"/>
                      <w:szCs w:val="28"/>
                    </w:rPr>
                    <w:t xml:space="preserve">            </w:t>
                  </w:r>
                  <w:r w:rsidR="0046235A" w:rsidRPr="006647D1">
                    <w:rPr>
                      <w:b/>
                      <w:bCs/>
                      <w:sz w:val="28"/>
                      <w:szCs w:val="28"/>
                    </w:rPr>
                    <w:t xml:space="preserve">Le </w:t>
                  </w:r>
                  <w:r w:rsidR="00A02583">
                    <w:rPr>
                      <w:b/>
                      <w:bCs/>
                      <w:sz w:val="28"/>
                      <w:szCs w:val="28"/>
                    </w:rPr>
                    <w:t>31</w:t>
                  </w:r>
                  <w:r w:rsidR="00FC4781">
                    <w:rPr>
                      <w:b/>
                      <w:bCs/>
                      <w:sz w:val="28"/>
                      <w:szCs w:val="28"/>
                    </w:rPr>
                    <w:t xml:space="preserve"> Mai 2018 </w:t>
                  </w:r>
                  <w:r w:rsidRPr="006647D1">
                    <w:rPr>
                      <w:b/>
                      <w:bCs/>
                      <w:sz w:val="28"/>
                      <w:szCs w:val="28"/>
                    </w:rPr>
                    <w:t xml:space="preserve"> </w:t>
                  </w:r>
                  <w:r w:rsidR="0046235A" w:rsidRPr="006647D1">
                    <w:rPr>
                      <w:sz w:val="28"/>
                      <w:szCs w:val="28"/>
                    </w:rPr>
                    <w:t>avant</w:t>
                  </w:r>
                  <w:r w:rsidR="0046235A" w:rsidRPr="006647D1">
                    <w:rPr>
                      <w:b/>
                      <w:bCs/>
                      <w:sz w:val="28"/>
                      <w:szCs w:val="28"/>
                    </w:rPr>
                    <w:t xml:space="preserve">  1</w:t>
                  </w:r>
                  <w:r w:rsidR="00FC4781">
                    <w:rPr>
                      <w:b/>
                      <w:bCs/>
                      <w:sz w:val="28"/>
                      <w:szCs w:val="28"/>
                    </w:rPr>
                    <w:t>1</w:t>
                  </w:r>
                  <w:r w:rsidR="0046235A" w:rsidRPr="006647D1">
                    <w:rPr>
                      <w:b/>
                      <w:bCs/>
                      <w:sz w:val="28"/>
                      <w:szCs w:val="28"/>
                    </w:rPr>
                    <w:t>h</w:t>
                  </w:r>
                  <w:r w:rsidR="00FC4781">
                    <w:rPr>
                      <w:b/>
                      <w:bCs/>
                      <w:sz w:val="28"/>
                      <w:szCs w:val="28"/>
                    </w:rPr>
                    <w:t>3</w:t>
                  </w:r>
                  <w:r w:rsidR="0046235A" w:rsidRPr="006647D1">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772044" w:rsidRDefault="00772044"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A02583">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D73CE">
        <w:rPr>
          <w:rFonts w:asciiTheme="minorBidi" w:hAnsiTheme="minorBidi" w:cstheme="minorBidi"/>
          <w:b/>
          <w:bCs/>
        </w:rPr>
        <w:t>soit le</w:t>
      </w:r>
      <w:r w:rsidRPr="00530400">
        <w:rPr>
          <w:rFonts w:asciiTheme="minorBidi" w:hAnsiTheme="minorBidi" w:cstheme="minorBidi"/>
        </w:rPr>
        <w:t xml:space="preserve"> </w:t>
      </w:r>
      <w:r w:rsidR="00A02583">
        <w:rPr>
          <w:rFonts w:asciiTheme="minorBidi" w:hAnsiTheme="minorBidi" w:cstheme="minorBidi"/>
          <w:b/>
          <w:bCs/>
        </w:rPr>
        <w:t>31</w:t>
      </w:r>
      <w:r w:rsidR="00F85A09">
        <w:rPr>
          <w:rFonts w:asciiTheme="minorBidi" w:hAnsiTheme="minorBidi" w:cstheme="minorBidi"/>
          <w:b/>
          <w:bCs/>
        </w:rPr>
        <w:t xml:space="preserve"> </w:t>
      </w:r>
      <w:r w:rsidR="00FC4781">
        <w:rPr>
          <w:rFonts w:asciiTheme="minorBidi" w:hAnsiTheme="minorBidi" w:cstheme="minorBidi"/>
          <w:b/>
          <w:bCs/>
        </w:rPr>
        <w:t>Mai 2018</w:t>
      </w:r>
      <w:r w:rsidR="009D73CE" w:rsidRPr="006647D1">
        <w:rPr>
          <w:rFonts w:asciiTheme="minorBidi" w:hAnsiTheme="minorBidi" w:cstheme="minorBidi"/>
        </w:rPr>
        <w:t xml:space="preserve"> </w:t>
      </w:r>
      <w:r w:rsidRPr="006647D1">
        <w:rPr>
          <w:rFonts w:asciiTheme="minorBidi" w:hAnsiTheme="minorBidi" w:cstheme="minorBidi"/>
          <w:b/>
          <w:bCs/>
        </w:rPr>
        <w:t xml:space="preserve">à </w:t>
      </w:r>
      <w:r w:rsidR="009D73CE" w:rsidRPr="006647D1">
        <w:rPr>
          <w:rFonts w:asciiTheme="minorBidi" w:hAnsiTheme="minorBidi" w:cstheme="minorBidi"/>
          <w:b/>
          <w:bCs/>
          <w:u w:val="single"/>
        </w:rPr>
        <w:t>1</w:t>
      </w:r>
      <w:r w:rsidR="00A02583">
        <w:rPr>
          <w:rFonts w:asciiTheme="minorBidi" w:hAnsiTheme="minorBidi" w:cstheme="minorBidi"/>
          <w:b/>
          <w:bCs/>
          <w:u w:val="single"/>
        </w:rPr>
        <w:t>1</w:t>
      </w:r>
      <w:r w:rsidRPr="006647D1">
        <w:rPr>
          <w:rFonts w:asciiTheme="minorBidi" w:hAnsiTheme="minorBidi" w:cstheme="minorBidi"/>
          <w:b/>
          <w:bCs/>
          <w:u w:val="single"/>
        </w:rPr>
        <w:t>H</w:t>
      </w:r>
      <w:r w:rsidR="00FC4781">
        <w:rPr>
          <w:rFonts w:asciiTheme="minorBidi" w:hAnsiTheme="minorBidi" w:cstheme="minorBidi"/>
          <w:b/>
          <w:bCs/>
          <w:u w:val="single"/>
        </w:rPr>
        <w:t>3</w:t>
      </w:r>
      <w:r w:rsidRPr="006647D1">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441" w:rsidRDefault="00AD5441">
      <w:r>
        <w:separator/>
      </w:r>
    </w:p>
  </w:endnote>
  <w:endnote w:type="continuationSeparator" w:id="1">
    <w:p w:rsidR="00AD5441" w:rsidRDefault="00AD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877AFF"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877AFF">
    <w:pPr>
      <w:pStyle w:val="Pieddepage"/>
      <w:jc w:val="center"/>
    </w:pPr>
    <w:fldSimple w:instr=" PAGE   \* MERGEFORMAT ">
      <w:r w:rsidR="00A02583">
        <w:rPr>
          <w:noProof/>
        </w:rPr>
        <w:t>- 13 -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441" w:rsidRDefault="00AD5441">
      <w:r>
        <w:separator/>
      </w:r>
    </w:p>
  </w:footnote>
  <w:footnote w:type="continuationSeparator" w:id="1">
    <w:p w:rsidR="00AD5441" w:rsidRDefault="00AD5441">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56322"/>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58B"/>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4FD"/>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2E50"/>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2235"/>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56AA8"/>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47D1"/>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28D"/>
    <w:rsid w:val="007668C5"/>
    <w:rsid w:val="007668EE"/>
    <w:rsid w:val="00766B61"/>
    <w:rsid w:val="00766BBF"/>
    <w:rsid w:val="007670EE"/>
    <w:rsid w:val="007704D2"/>
    <w:rsid w:val="0077131F"/>
    <w:rsid w:val="00772044"/>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BD"/>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AFF"/>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08D7"/>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583"/>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4B46"/>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5441"/>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A09"/>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781"/>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 w:val="00FF52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4512</Words>
  <Characters>24818</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29272</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61</cp:revision>
  <cp:lastPrinted>2017-07-12T08:30:00Z</cp:lastPrinted>
  <dcterms:created xsi:type="dcterms:W3CDTF">2016-04-12T09:10:00Z</dcterms:created>
  <dcterms:modified xsi:type="dcterms:W3CDTF">2018-05-21T10:36:00Z</dcterms:modified>
</cp:coreProperties>
</file>