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87426C">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87426C">
        <w:rPr>
          <w:rFonts w:asciiTheme="minorBidi" w:hAnsiTheme="minorBidi" w:cstheme="minorBidi"/>
          <w:b/>
          <w:bCs/>
          <w:sz w:val="28"/>
          <w:szCs w:val="28"/>
        </w:rPr>
        <w:t>7</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EC2B0D" w:rsidRPr="000D1F56" w:rsidRDefault="009C1AD3" w:rsidP="00321BEA">
      <w:pPr>
        <w:widowControl w:val="0"/>
        <w:autoSpaceDE w:val="0"/>
        <w:autoSpaceDN w:val="0"/>
        <w:adjustRightInd w:val="0"/>
        <w:spacing w:line="403" w:lineRule="atLeast"/>
        <w:jc w:val="center"/>
        <w:rPr>
          <w:rFonts w:asciiTheme="minorBidi" w:hAnsiTheme="minorBidi" w:cstheme="minorBidi"/>
          <w:b/>
          <w:bCs/>
          <w:i/>
          <w:sz w:val="32"/>
          <w:szCs w:val="32"/>
          <w:u w:val="single"/>
        </w:rPr>
      </w:pPr>
      <w:r w:rsidRPr="000D1F56">
        <w:rPr>
          <w:rFonts w:asciiTheme="minorBidi" w:hAnsiTheme="minorBidi" w:cstheme="minorBidi"/>
          <w:b/>
          <w:bCs/>
          <w:i/>
          <w:sz w:val="32"/>
          <w:szCs w:val="32"/>
          <w:u w:val="single"/>
        </w:rPr>
        <w:t xml:space="preserve">CONSULTATION </w:t>
      </w:r>
      <w:r w:rsidR="00190728" w:rsidRPr="000D1F56">
        <w:rPr>
          <w:rFonts w:asciiTheme="minorBidi" w:hAnsiTheme="minorBidi" w:cstheme="minorBidi"/>
          <w:b/>
          <w:bCs/>
          <w:i/>
          <w:sz w:val="32"/>
          <w:szCs w:val="32"/>
          <w:u w:val="single"/>
        </w:rPr>
        <w:t xml:space="preserve"> </w:t>
      </w:r>
      <w:r w:rsidR="00537EAD" w:rsidRPr="000D1F56">
        <w:rPr>
          <w:rFonts w:asciiTheme="minorBidi" w:hAnsiTheme="minorBidi" w:cstheme="minorBidi"/>
          <w:b/>
          <w:bCs/>
          <w:i/>
          <w:sz w:val="32"/>
          <w:szCs w:val="32"/>
          <w:u w:val="single"/>
        </w:rPr>
        <w:t>N°</w:t>
      </w:r>
      <w:r w:rsidR="00E61A21">
        <w:rPr>
          <w:rFonts w:asciiTheme="minorBidi" w:hAnsiTheme="minorBidi" w:cstheme="minorBidi"/>
          <w:b/>
          <w:bCs/>
          <w:i/>
          <w:sz w:val="32"/>
          <w:szCs w:val="32"/>
          <w:u w:val="single"/>
        </w:rPr>
        <w:t>1</w:t>
      </w:r>
      <w:r w:rsidR="00321BEA">
        <w:rPr>
          <w:rFonts w:asciiTheme="minorBidi" w:hAnsiTheme="minorBidi" w:cstheme="minorBidi"/>
          <w:b/>
          <w:bCs/>
          <w:i/>
          <w:sz w:val="32"/>
          <w:szCs w:val="32"/>
          <w:u w:val="single"/>
        </w:rPr>
        <w:t>1</w:t>
      </w:r>
      <w:r w:rsidR="009D0296" w:rsidRPr="000D1F56">
        <w:rPr>
          <w:rFonts w:asciiTheme="minorBidi" w:hAnsiTheme="minorBidi" w:cstheme="minorBidi"/>
          <w:b/>
          <w:bCs/>
          <w:i/>
          <w:sz w:val="32"/>
          <w:szCs w:val="32"/>
          <w:u w:val="single"/>
        </w:rPr>
        <w:t>/201</w:t>
      </w:r>
      <w:r w:rsidR="0087426C">
        <w:rPr>
          <w:rFonts w:asciiTheme="minorBidi" w:hAnsiTheme="minorBidi" w:cstheme="minorBidi"/>
          <w:b/>
          <w:bCs/>
          <w:i/>
          <w:sz w:val="32"/>
          <w:szCs w:val="32"/>
          <w:u w:val="single"/>
        </w:rPr>
        <w:t>7</w:t>
      </w:r>
      <w:r w:rsidR="00F17215" w:rsidRPr="000D1F56">
        <w:rPr>
          <w:rFonts w:asciiTheme="minorBidi" w:hAnsiTheme="minorBidi" w:cstheme="minorBidi"/>
          <w:b/>
          <w:bCs/>
          <w:i/>
          <w:sz w:val="32"/>
          <w:szCs w:val="32"/>
          <w:u w:val="single"/>
        </w:rPr>
        <w:t xml:space="preserve"> </w:t>
      </w:r>
      <w:r w:rsidR="00F17215" w:rsidRPr="000D1F56">
        <w:rPr>
          <w:rFonts w:asciiTheme="minorBidi" w:hAnsiTheme="minorBidi" w:cstheme="minorBidi"/>
          <w:b/>
          <w:bCs/>
          <w:sz w:val="28"/>
          <w:szCs w:val="28"/>
          <w:u w:val="single"/>
        </w:rPr>
        <w:t>RELATIVE A</w:t>
      </w:r>
      <w:r w:rsidR="00F17215" w:rsidRPr="000D1F56">
        <w:rPr>
          <w:rFonts w:asciiTheme="minorBidi" w:hAnsiTheme="minorBidi" w:cstheme="minorBidi"/>
          <w:b/>
          <w:bCs/>
          <w:sz w:val="28"/>
          <w:szCs w:val="28"/>
        </w:rPr>
        <w:t xml:space="preserve"> :   </w:t>
      </w:r>
    </w:p>
    <w:p w:rsidR="00700B14" w:rsidRPr="000D1F56" w:rsidRDefault="00700B14" w:rsidP="001541BC">
      <w:pPr>
        <w:widowControl w:val="0"/>
        <w:autoSpaceDE w:val="0"/>
        <w:autoSpaceDN w:val="0"/>
        <w:adjustRightInd w:val="0"/>
        <w:spacing w:line="403" w:lineRule="atLeast"/>
        <w:jc w:val="center"/>
        <w:rPr>
          <w:rFonts w:asciiTheme="minorBidi" w:hAnsiTheme="minorBidi" w:cstheme="minorBidi"/>
          <w:b/>
          <w:bCs/>
          <w:sz w:val="32"/>
          <w:szCs w:val="32"/>
        </w:rPr>
      </w:pPr>
    </w:p>
    <w:p w:rsidR="00AE4CA1" w:rsidRDefault="00700B14" w:rsidP="007863F8">
      <w:pPr>
        <w:widowControl w:val="0"/>
        <w:autoSpaceDE w:val="0"/>
        <w:autoSpaceDN w:val="0"/>
        <w:adjustRightInd w:val="0"/>
        <w:spacing w:line="384"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ACQUISITION</w:t>
      </w:r>
      <w:r w:rsidR="004941F9" w:rsidRPr="000D1F56">
        <w:rPr>
          <w:rFonts w:asciiTheme="minorBidi" w:hAnsiTheme="minorBidi" w:cstheme="minorBidi"/>
          <w:b/>
          <w:bCs/>
          <w:sz w:val="32"/>
          <w:szCs w:val="32"/>
        </w:rPr>
        <w:t xml:space="preserve"> </w:t>
      </w:r>
      <w:r w:rsidR="007863F8">
        <w:rPr>
          <w:rFonts w:asciiTheme="minorBidi" w:hAnsiTheme="minorBidi" w:cstheme="minorBidi"/>
          <w:b/>
          <w:bCs/>
          <w:sz w:val="32"/>
          <w:szCs w:val="32"/>
        </w:rPr>
        <w:t>DES PRODUITS CHIMIQUES</w:t>
      </w:r>
    </w:p>
    <w:p w:rsidR="007863F8" w:rsidRPr="000D1F56" w:rsidRDefault="007863F8" w:rsidP="007863F8">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Default="00677836" w:rsidP="0087426C">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87426C" w:rsidRPr="00E85940">
        <w:rPr>
          <w:rFonts w:asciiTheme="minorBidi" w:hAnsiTheme="minorBidi" w:cstheme="minorBidi"/>
          <w:b/>
          <w:bCs/>
        </w:rPr>
        <w:t>Avril</w:t>
      </w:r>
      <w:r w:rsidRPr="00E85940">
        <w:rPr>
          <w:rFonts w:asciiTheme="minorBidi" w:hAnsiTheme="minorBidi" w:cstheme="minorBidi"/>
          <w:b/>
          <w:bCs/>
        </w:rPr>
        <w:t xml:space="preserve"> 201</w:t>
      </w:r>
      <w:r w:rsidR="0087426C" w:rsidRPr="00E85940">
        <w:rPr>
          <w:rFonts w:asciiTheme="minorBidi" w:hAnsiTheme="minorBidi" w:cstheme="minorBidi"/>
          <w:b/>
          <w:bCs/>
        </w:rPr>
        <w:t>7</w:t>
      </w:r>
    </w:p>
    <w:p w:rsidR="00321BEA" w:rsidRPr="00E85940" w:rsidRDefault="00321BEA" w:rsidP="0087426C">
      <w:pPr>
        <w:widowControl w:val="0"/>
        <w:autoSpaceDE w:val="0"/>
        <w:autoSpaceDN w:val="0"/>
        <w:adjustRightInd w:val="0"/>
        <w:spacing w:line="403" w:lineRule="atLeast"/>
        <w:jc w:val="center"/>
        <w:rPr>
          <w:rFonts w:asciiTheme="minorBidi" w:hAnsiTheme="minorBidi" w:cstheme="minorBidi"/>
          <w:b/>
          <w:bCs/>
        </w:rPr>
      </w:pPr>
    </w:p>
    <w:p w:rsidR="005D5211" w:rsidRPr="002A1A72" w:rsidRDefault="005D5211" w:rsidP="009D34D7">
      <w:pPr>
        <w:widowControl w:val="0"/>
        <w:autoSpaceDE w:val="0"/>
        <w:autoSpaceDN w:val="0"/>
        <w:adjustRightInd w:val="0"/>
        <w:spacing w:line="403" w:lineRule="atLeast"/>
        <w:rPr>
          <w:rFonts w:ascii="Trebuchet MS" w:hAnsi="Trebuchet MS"/>
          <w:sz w:val="16"/>
          <w:szCs w:val="16"/>
        </w:rPr>
      </w:pPr>
    </w:p>
    <w:p w:rsidR="003B5A68" w:rsidRPr="00321BEA" w:rsidRDefault="006D5A88" w:rsidP="00321BEA">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الجمهورية الجزائرية الديمقراطية الشعبية</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6D5A88" w:rsidRDefault="006D5A88" w:rsidP="00EE55EF">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6D5A88">
      <w:pPr>
        <w:spacing w:after="200" w:line="276" w:lineRule="auto"/>
        <w:rPr>
          <w:rFonts w:eastAsia="Calibri"/>
          <w:b/>
          <w:lang w:eastAsia="en-US"/>
        </w:rPr>
      </w:pPr>
    </w:p>
    <w:p w:rsidR="006D5A88" w:rsidRPr="006D5A88" w:rsidRDefault="006D5A88" w:rsidP="006D5A88">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jc w:val="center"/>
        <w:rPr>
          <w:rFonts w:eastAsia="Calibri"/>
          <w:b/>
          <w:sz w:val="28"/>
          <w:szCs w:val="28"/>
          <w:lang w:eastAsia="en-US"/>
        </w:rPr>
      </w:pP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E85940" w:rsidRDefault="00E85940" w:rsidP="00E85940">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6D5A88" w:rsidRPr="00E85940" w:rsidRDefault="00E85940" w:rsidP="00E85940">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915CBF"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915CBF"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915CBF"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E85940">
      <w:pPr>
        <w:rPr>
          <w:rFonts w:eastAsia="Calibri"/>
          <w:lang w:eastAsia="en-US"/>
        </w:rPr>
      </w:pPr>
      <w:r w:rsidRPr="006D5A88">
        <w:rPr>
          <w:rFonts w:eastAsia="Calibri"/>
          <w:lang w:eastAsia="en-US"/>
        </w:rPr>
        <w:t>Dénomination de chaque société membre du groupement:</w:t>
      </w:r>
    </w:p>
    <w:p w:rsidR="006D5A88" w:rsidRPr="006D5A88" w:rsidRDefault="006D5A88" w:rsidP="00E85940">
      <w:pPr>
        <w:rPr>
          <w:rFonts w:eastAsia="Calibri"/>
          <w:lang w:eastAsia="en-US"/>
        </w:rPr>
      </w:pPr>
      <w:r w:rsidRPr="006D5A88">
        <w:rPr>
          <w:rFonts w:eastAsia="Calibri"/>
          <w:lang w:eastAsia="en-US"/>
        </w:rPr>
        <w:t>1/……………………………………………………………………………………………………………..</w:t>
      </w:r>
    </w:p>
    <w:p w:rsidR="006D5A88" w:rsidRPr="006D5A88" w:rsidRDefault="006D5A88" w:rsidP="00E85940">
      <w:pPr>
        <w:rPr>
          <w:rFonts w:eastAsia="Calibri"/>
          <w:lang w:eastAsia="en-US"/>
        </w:rPr>
      </w:pPr>
      <w:r w:rsidRPr="006D5A88">
        <w:rPr>
          <w:rFonts w:eastAsia="Calibri"/>
          <w:lang w:eastAsia="en-US"/>
        </w:rPr>
        <w:t>2/…………………………………………………………………………………………………………..…</w:t>
      </w:r>
    </w:p>
    <w:p w:rsidR="006D5A88" w:rsidRPr="006D5A88" w:rsidRDefault="006D5A88" w:rsidP="00E85940">
      <w:pPr>
        <w:rPr>
          <w:rFonts w:eastAsia="Calibri"/>
          <w:lang w:eastAsia="en-US"/>
        </w:rPr>
      </w:pPr>
      <w:r w:rsidRPr="006D5A88">
        <w:rPr>
          <w:rFonts w:eastAsia="Calibri"/>
          <w:lang w:eastAsia="en-US"/>
        </w:rPr>
        <w:t>3/………………………………………………………………………………………………………..……</w:t>
      </w:r>
    </w:p>
    <w:p w:rsidR="006D5A88" w:rsidRPr="006D5A88" w:rsidRDefault="006D5A88" w:rsidP="00E85940">
      <w:pPr>
        <w:rPr>
          <w:rFonts w:eastAsia="Calibri"/>
          <w:lang w:eastAsia="en-US"/>
        </w:rPr>
      </w:pPr>
      <w:r w:rsidRPr="006D5A88">
        <w:rPr>
          <w:rFonts w:eastAsia="Calibri"/>
          <w:lang w:eastAsia="en-US"/>
        </w:rPr>
        <w:t>4/…………………………………………………………………………………………………………..…</w:t>
      </w:r>
    </w:p>
    <w:p w:rsidR="006D5A88" w:rsidRPr="006D5A88" w:rsidRDefault="006D5A88" w:rsidP="00E85940">
      <w:pPr>
        <w:rPr>
          <w:rFonts w:eastAsia="Calibri"/>
          <w:lang w:eastAsia="en-US"/>
        </w:rPr>
      </w:pPr>
      <w:r w:rsidRPr="006D5A88">
        <w:rPr>
          <w:rFonts w:eastAsia="Calibri"/>
          <w:lang w:eastAsia="en-US"/>
        </w:rPr>
        <w:t>Dénomination du groupement :……………………………………………………………………………...</w:t>
      </w:r>
    </w:p>
    <w:p w:rsidR="006D5A88" w:rsidRPr="006D5A88" w:rsidRDefault="006D5A88" w:rsidP="00E85940">
      <w:pPr>
        <w:rPr>
          <w:rFonts w:eastAsia="Calibri"/>
          <w:lang w:eastAsia="en-US"/>
        </w:rPr>
      </w:pPr>
      <w:r w:rsidRPr="006D5A88">
        <w:rPr>
          <w:rFonts w:eastAsia="Calibri"/>
          <w:lang w:eastAsia="en-US"/>
        </w:rPr>
        <w:t>………………………………………………………………………………………………………………..</w:t>
      </w:r>
    </w:p>
    <w:p w:rsidR="006D5A88" w:rsidRPr="006D5A88" w:rsidRDefault="006D5A88" w:rsidP="00E85940">
      <w:pPr>
        <w:rPr>
          <w:rFonts w:eastAsia="Calibri"/>
          <w:lang w:eastAsia="en-US"/>
        </w:rPr>
      </w:pPr>
      <w:r w:rsidRPr="006D5A88">
        <w:rPr>
          <w:rFonts w:eastAsia="Calibri"/>
          <w:lang w:eastAsia="en-US"/>
        </w:rPr>
        <w:t>Désignation du mandataire :</w:t>
      </w:r>
    </w:p>
    <w:p w:rsidR="006D5A88" w:rsidRPr="006D5A88" w:rsidRDefault="006D5A88" w:rsidP="00E85940">
      <w:pPr>
        <w:rPr>
          <w:rFonts w:eastAsia="Calibri"/>
          <w:lang w:eastAsia="en-US"/>
        </w:rPr>
      </w:pPr>
      <w:r w:rsidRPr="006D5A88">
        <w:rPr>
          <w:rFonts w:eastAsia="Calibri"/>
          <w:lang w:eastAsia="en-US"/>
        </w:rPr>
        <w:t>Les membres du groupement désignent le mandataire suivant :……………………………….....................</w:t>
      </w:r>
    </w:p>
    <w:p w:rsidR="006D5A88" w:rsidRPr="006D5A88" w:rsidRDefault="006D5A88" w:rsidP="00E85940">
      <w:pPr>
        <w:rPr>
          <w:rFonts w:eastAsia="Calibri"/>
          <w:lang w:eastAsia="en-US"/>
        </w:rPr>
      </w:pPr>
      <w:r w:rsidRPr="006D5A88">
        <w:rPr>
          <w:rFonts w:eastAsia="Calibri"/>
          <w:lang w:eastAsia="en-US"/>
        </w:rPr>
        <w:t>………………………………………………………………………………………………………………..</w:t>
      </w:r>
    </w:p>
    <w:p w:rsidR="00E85940" w:rsidRDefault="00E85940" w:rsidP="006D5A88">
      <w:pPr>
        <w:autoSpaceDE w:val="0"/>
        <w:autoSpaceDN w:val="0"/>
        <w:adjustRightInd w:val="0"/>
        <w:rPr>
          <w:rFonts w:eastAsia="Calibri"/>
          <w:b/>
          <w:bCs/>
          <w:u w:val="single"/>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6D5A88" w:rsidRPr="00E85940" w:rsidRDefault="006D5A88" w:rsidP="006D5A88">
      <w:pPr>
        <w:autoSpaceDE w:val="0"/>
        <w:autoSpaceDN w:val="0"/>
        <w:adjustRightInd w:val="0"/>
        <w:rPr>
          <w:rFonts w:eastAsia="Calibri"/>
          <w:b/>
          <w:bCs/>
          <w:sz w:val="6"/>
          <w:szCs w:val="6"/>
          <w:lang w:eastAsia="en-US"/>
        </w:rPr>
      </w:pPr>
    </w:p>
    <w:p w:rsidR="006D5A88" w:rsidRPr="006D5A88" w:rsidRDefault="006D5A88" w:rsidP="00E85940">
      <w:pPr>
        <w:autoSpaceDE w:val="0"/>
        <w:autoSpaceDN w:val="0"/>
        <w:adjustRightInd w:val="0"/>
        <w:rPr>
          <w:rFonts w:eastAsia="Calibri"/>
          <w:lang w:eastAsia="en-US"/>
        </w:rPr>
      </w:pPr>
      <w:r w:rsidRPr="006D5A88">
        <w:rPr>
          <w:rFonts w:eastAsia="Calibri"/>
          <w:lang w:eastAsia="en-US"/>
        </w:rPr>
        <w:t xml:space="preserve">Objet du </w:t>
      </w:r>
      <w:r w:rsidR="00E85940">
        <w:rPr>
          <w:rFonts w:eastAsia="Calibri"/>
          <w:lang w:eastAsia="en-US"/>
        </w:rPr>
        <w:t>cahier des charges</w:t>
      </w:r>
      <w:r w:rsidRPr="006D5A88">
        <w:rPr>
          <w:rFonts w:eastAsia="Calibri"/>
          <w:lang w:eastAsia="en-US"/>
        </w:rPr>
        <w:t>:</w:t>
      </w:r>
      <w:r w:rsidR="00E85940">
        <w:rPr>
          <w:rFonts w:eastAsia="Calibri"/>
          <w:lang w:eastAsia="en-US"/>
        </w:rPr>
        <w:t xml:space="preserve"> </w:t>
      </w:r>
      <w:r w:rsidR="00E85940" w:rsidRPr="00E85940">
        <w:rPr>
          <w:rFonts w:eastAsia="Calibri"/>
          <w:b/>
          <w:bCs/>
          <w:lang w:eastAsia="en-US"/>
        </w:rPr>
        <w:t>Acquisition des produits chimiques</w:t>
      </w:r>
      <w:r w:rsidR="00E85940">
        <w:rPr>
          <w:rFonts w:eastAsia="Calibri"/>
          <w:lang w:eastAsia="en-US"/>
        </w:rPr>
        <w:t xml:space="preserve"> </w:t>
      </w:r>
    </w:p>
    <w:p w:rsidR="006D5A88" w:rsidRPr="00E85940" w:rsidRDefault="006D5A88" w:rsidP="00E85940">
      <w:pPr>
        <w:autoSpaceDE w:val="0"/>
        <w:autoSpaceDN w:val="0"/>
        <w:adjustRightInd w:val="0"/>
        <w:rPr>
          <w:rFonts w:eastAsia="Calibri"/>
          <w:sz w:val="22"/>
          <w:szCs w:val="22"/>
          <w:lang w:eastAsia="en-US"/>
        </w:rPr>
      </w:pPr>
    </w:p>
    <w:p w:rsidR="006D5A88" w:rsidRPr="006D5A88" w:rsidRDefault="006D5A88" w:rsidP="00E85940">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E85940">
        <w:rPr>
          <w:rFonts w:eastAsia="Calibri"/>
          <w:lang w:eastAsia="en-US"/>
        </w:rPr>
        <w:t>cahier des charges</w:t>
      </w:r>
      <w:r w:rsidRPr="006D5A88">
        <w:rPr>
          <w:rFonts w:eastAsia="Calibri"/>
          <w:lang w:eastAsia="en-US"/>
        </w:rPr>
        <w:t xml:space="preserve"> :…….................</w:t>
      </w:r>
      <w:r w:rsidR="00E85940">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915CBF"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915CBF"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915CBF"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915CBF" w:rsidP="006D5A88">
      <w:pPr>
        <w:autoSpaceDE w:val="0"/>
        <w:autoSpaceDN w:val="0"/>
        <w:adjustRightInd w:val="0"/>
        <w:rPr>
          <w:rFonts w:eastAsia="Calibri"/>
          <w:lang w:eastAsia="en-US"/>
        </w:rPr>
      </w:pPr>
      <w:r>
        <w:rPr>
          <w:rFonts w:eastAsia="Calibri"/>
          <w:noProof/>
          <w:lang w:eastAsia="fr-FR"/>
        </w:rPr>
        <w:lastRenderedPageBreak/>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915CBF"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u w:val="single"/>
          <w:lang w:eastAsia="en-US"/>
        </w:rPr>
      </w:pPr>
    </w:p>
    <w:p w:rsidR="006D5A88" w:rsidRPr="00E85940"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915CBF"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321BEA">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915CBF"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E85940">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E85940">
      <w:pPr>
        <w:jc w:val="both"/>
        <w:rPr>
          <w:rFonts w:eastAsia="Calibri"/>
          <w:lang w:eastAsia="en-US"/>
        </w:rPr>
      </w:pPr>
      <w:r w:rsidRPr="006D5A88">
        <w:rPr>
          <w:rFonts w:eastAsia="Calibri"/>
          <w:lang w:eastAsia="en-US"/>
        </w:rPr>
        <w:t>…………………………………………………………………………………………………......................</w:t>
      </w:r>
    </w:p>
    <w:p w:rsidR="006D5A88" w:rsidRPr="00E85940" w:rsidRDefault="006D5A88" w:rsidP="00E85940">
      <w:pPr>
        <w:jc w:val="both"/>
        <w:rPr>
          <w:rFonts w:eastAsia="Calibri"/>
          <w:lang w:eastAsia="en-US"/>
        </w:rPr>
      </w:pPr>
      <w:r w:rsidRPr="006D5A88">
        <w:rPr>
          <w:rFonts w:eastAsia="Calibri"/>
          <w:lang w:eastAsia="en-US"/>
        </w:rPr>
        <w:t>………………………………………………………………………………………………………………..</w:t>
      </w:r>
    </w:p>
    <w:p w:rsidR="006D5A88" w:rsidRPr="006D5A88" w:rsidRDefault="006D5A88" w:rsidP="00321BEA">
      <w:pPr>
        <w:spacing w:after="200"/>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915CBF"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E85940" w:rsidRDefault="006D5A88" w:rsidP="006D5A88">
      <w:pPr>
        <w:autoSpaceDE w:val="0"/>
        <w:autoSpaceDN w:val="0"/>
        <w:adjustRightInd w:val="0"/>
        <w:spacing w:line="360" w:lineRule="auto"/>
        <w:jc w:val="both"/>
        <w:rPr>
          <w:rFonts w:eastAsia="Calibri"/>
          <w:sz w:val="6"/>
          <w:szCs w:val="6"/>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321BEA">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E85940">
        <w:trPr>
          <w:trHeight w:val="1035"/>
        </w:trPr>
        <w:tc>
          <w:tcPr>
            <w:tcW w:w="4962"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E85940">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E85940">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3402"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E85940" w:rsidRPr="006D5A88" w:rsidRDefault="00E85940" w:rsidP="002643B7">
            <w:pPr>
              <w:autoSpaceDE w:val="0"/>
              <w:autoSpaceDN w:val="0"/>
              <w:adjustRightInd w:val="0"/>
              <w:jc w:val="both"/>
              <w:rPr>
                <w:rFonts w:ascii="Calibri" w:eastAsia="Calibri" w:hAnsi="Calibri"/>
                <w:sz w:val="22"/>
                <w:szCs w:val="22"/>
                <w:lang w:eastAsia="en-US"/>
              </w:rPr>
            </w:pPr>
          </w:p>
        </w:tc>
      </w:tr>
    </w:tbl>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Default="006D5A88"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Pr="006D5A88" w:rsidRDefault="00E85940"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b/>
          <w:bCs/>
          <w:sz w:val="16"/>
          <w:szCs w:val="16"/>
          <w:lang w:eastAsia="en-US"/>
        </w:rPr>
      </w:pPr>
      <w:r w:rsidRPr="00E85940">
        <w:rPr>
          <w:rFonts w:eastAsia="Calibri"/>
          <w:b/>
          <w:bCs/>
          <w:sz w:val="16"/>
          <w:szCs w:val="16"/>
          <w:lang w:eastAsia="en-US"/>
        </w:rPr>
        <w:t>N.B :</w:t>
      </w:r>
    </w:p>
    <w:p w:rsidR="006D5A88" w:rsidRPr="00E85940" w:rsidRDefault="006D5A88" w:rsidP="006D5A88">
      <w:pPr>
        <w:autoSpaceDE w:val="0"/>
        <w:autoSpaceDN w:val="0"/>
        <w:adjustRightInd w:val="0"/>
        <w:jc w:val="both"/>
        <w:rPr>
          <w:rFonts w:eastAsia="Calibri"/>
          <w:b/>
          <w:bCs/>
          <w:sz w:val="6"/>
          <w:szCs w:val="6"/>
          <w:lang w:eastAsia="en-US"/>
        </w:rPr>
      </w:pP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-Cocher les cases correspondant à votre choix.</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-Les cases correspondantes doivent obligatoirement être remplies.</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-En cas d’allotissement chaque lot doit faire l’objet dune declaration.</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-Pour chaque variante présenter une déclaration.</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-Pour les prix en option présenter une seule déclaration a part.</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-Lorsque le soumissionnaire est une personne physique, il doit adapter les rubriques spécifiques aux sociétés, aux  entreprises individuelles.</w:t>
      </w:r>
    </w:p>
    <w:p w:rsidR="006D5A88" w:rsidRPr="00E85940"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915CBF"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E85940" w:rsidRDefault="00E85940"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F94DBA">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B4529A">
        <w:rPr>
          <w:rFonts w:asciiTheme="minorBidi" w:hAnsiTheme="minorBidi" w:cstheme="minorBidi"/>
          <w:b/>
        </w:rPr>
        <w:t xml:space="preserve">des </w:t>
      </w:r>
      <w:r w:rsidR="00F94DBA">
        <w:rPr>
          <w:rFonts w:asciiTheme="minorBidi" w:hAnsiTheme="minorBidi" w:cstheme="minorBidi"/>
          <w:b/>
        </w:rPr>
        <w:t>produits chimiques</w:t>
      </w:r>
      <w:r w:rsidR="00A263FB" w:rsidRPr="00530400">
        <w:rPr>
          <w:rFonts w:asciiTheme="minorBidi" w:hAnsiTheme="minorBidi" w:cstheme="minorBidi"/>
          <w:b/>
        </w:rPr>
        <w:t xml:space="preserve"> </w:t>
      </w:r>
      <w:r w:rsidR="00807E1E" w:rsidRPr="00530400">
        <w:rPr>
          <w:rFonts w:asciiTheme="minorBidi" w:hAnsiTheme="minorBidi" w:cstheme="minorBidi"/>
          <w:b/>
        </w:rPr>
        <w:t xml:space="preserve">pour </w:t>
      </w:r>
      <w:r w:rsidR="001A4C64" w:rsidRPr="00530400">
        <w:rPr>
          <w:rFonts w:asciiTheme="minorBidi" w:hAnsiTheme="minorBidi" w:cstheme="minorBidi"/>
          <w:b/>
        </w:rPr>
        <w:t>le</w:t>
      </w:r>
      <w:r w:rsidR="00A32E3C" w:rsidRPr="00530400">
        <w:rPr>
          <w:rFonts w:asciiTheme="minorBidi" w:hAnsiTheme="minorBidi" w:cstheme="minorBidi"/>
          <w:b/>
        </w:rPr>
        <w:t>s</w:t>
      </w:r>
      <w:r w:rsidR="001A4C64" w:rsidRPr="00530400">
        <w:rPr>
          <w:rFonts w:asciiTheme="minorBidi" w:hAnsiTheme="minorBidi" w:cstheme="minorBidi"/>
          <w:b/>
        </w:rPr>
        <w:t xml:space="preserve"> laboratoire</w:t>
      </w:r>
      <w:r w:rsidR="00A32E3C" w:rsidRPr="00530400">
        <w:rPr>
          <w:rFonts w:asciiTheme="minorBidi" w:hAnsiTheme="minorBidi" w:cstheme="minorBidi"/>
          <w:b/>
        </w:rPr>
        <w:t xml:space="preserve">s </w:t>
      </w:r>
      <w:r w:rsidR="002D0D3C" w:rsidRPr="00530400">
        <w:rPr>
          <w:rFonts w:asciiTheme="minorBidi" w:hAnsiTheme="minorBidi" w:cstheme="minorBidi"/>
          <w:b/>
        </w:rPr>
        <w:t xml:space="preserve"> </w:t>
      </w:r>
      <w:r w:rsidR="00A32E3C" w:rsidRPr="00530400">
        <w:rPr>
          <w:rFonts w:asciiTheme="minorBidi" w:hAnsiTheme="minorBidi" w:cstheme="minorBidi"/>
          <w:b/>
        </w:rPr>
        <w:t>pédagogiques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53241F" w:rsidRPr="00530400" w:rsidRDefault="0053241F"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5D5211">
        <w:rPr>
          <w:rFonts w:asciiTheme="minorBidi" w:hAnsiTheme="minorBidi" w:cstheme="minorBidi"/>
          <w:b/>
          <w:bCs/>
        </w:rPr>
        <w:t xml:space="preserve">13 </w:t>
      </w:r>
      <w:r w:rsidR="005D5211" w:rsidRPr="005D5211">
        <w:rPr>
          <w:rFonts w:asciiTheme="minorBidi" w:hAnsiTheme="minorBidi" w:cstheme="minorBidi"/>
        </w:rPr>
        <w:t>et</w:t>
      </w:r>
      <w:r w:rsidR="005D5211">
        <w:rPr>
          <w:rFonts w:asciiTheme="minorBidi" w:hAnsiTheme="minorBidi" w:cstheme="minorBidi"/>
          <w:b/>
          <w:bCs/>
        </w:rPr>
        <w:t xml:space="preserve">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643E6C" w:rsidRDefault="00643E6C"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5D5211">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321BEA">
      <w:pPr>
        <w:jc w:val="center"/>
        <w:rPr>
          <w:rFonts w:asciiTheme="minorBidi" w:hAnsiTheme="minorBidi" w:cstheme="minorBidi"/>
          <w:b/>
          <w:bCs/>
        </w:rPr>
      </w:pPr>
      <w:r w:rsidRPr="00397058">
        <w:rPr>
          <w:rFonts w:asciiTheme="minorBidi" w:hAnsiTheme="minorBidi" w:cstheme="minorBidi"/>
          <w:b/>
          <w:bCs/>
        </w:rPr>
        <w:t>Consultation   N°</w:t>
      </w:r>
      <w:r w:rsidR="00E61A21">
        <w:rPr>
          <w:rFonts w:asciiTheme="minorBidi" w:hAnsiTheme="minorBidi" w:cstheme="minorBidi"/>
          <w:b/>
          <w:bCs/>
        </w:rPr>
        <w:t>1</w:t>
      </w:r>
      <w:r w:rsidR="00321BEA">
        <w:rPr>
          <w:rFonts w:asciiTheme="minorBidi" w:hAnsiTheme="minorBidi" w:cstheme="minorBidi"/>
          <w:b/>
          <w:bCs/>
        </w:rPr>
        <w:t>1</w:t>
      </w:r>
      <w:r w:rsidRPr="00397058">
        <w:rPr>
          <w:rFonts w:asciiTheme="minorBidi" w:hAnsiTheme="minorBidi" w:cstheme="minorBidi"/>
          <w:b/>
          <w:bCs/>
        </w:rPr>
        <w:t>/201</w:t>
      </w:r>
      <w:r w:rsidR="0007013D">
        <w:rPr>
          <w:rFonts w:asciiTheme="minorBidi" w:hAnsiTheme="minorBidi" w:cstheme="minorBidi"/>
          <w:b/>
          <w:bCs/>
        </w:rPr>
        <w:t>7</w:t>
      </w:r>
    </w:p>
    <w:p w:rsidR="008B44C1" w:rsidRPr="009F617F" w:rsidRDefault="008B44C1" w:rsidP="00F94DBA">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des </w:t>
      </w:r>
      <w:r w:rsidR="00F94DBA">
        <w:rPr>
          <w:rFonts w:asciiTheme="minorBidi" w:hAnsiTheme="minorBidi" w:cstheme="minorBidi"/>
        </w:rPr>
        <w:t>produits chimiques</w:t>
      </w:r>
      <w:r w:rsidRPr="009F617F">
        <w:rPr>
          <w:rFonts w:asciiTheme="minorBidi" w:hAnsiTheme="minorBidi" w:cstheme="minorBidi"/>
        </w:rPr>
        <w:t> »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886A01" w:rsidRPr="00530400" w:rsidRDefault="009D1A93" w:rsidP="00321BEA">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w:t>
      </w:r>
      <w:r w:rsidR="00116598" w:rsidRPr="00530400">
        <w:rPr>
          <w:rFonts w:asciiTheme="minorBidi" w:hAnsiTheme="minorBidi" w:cstheme="minorBidi"/>
        </w:rPr>
        <w:t xml:space="preserve"> </w:t>
      </w:r>
      <w:r w:rsidRPr="00530400">
        <w:rPr>
          <w:rFonts w:asciiTheme="minorBidi" w:hAnsiTheme="minorBidi" w:cstheme="minorBidi"/>
        </w:rPr>
        <w:t xml:space="preserve">La date et l’heure limite de dépôt des offres est fixée au </w:t>
      </w:r>
      <w:r w:rsidR="00321BEA">
        <w:rPr>
          <w:rFonts w:asciiTheme="minorBidi" w:hAnsiTheme="minorBidi" w:cstheme="minorBidi"/>
          <w:b/>
          <w:bCs/>
        </w:rPr>
        <w:t>dix huitième</w:t>
      </w:r>
      <w:r w:rsidRPr="00321BEA">
        <w:rPr>
          <w:rFonts w:asciiTheme="minorBidi" w:hAnsiTheme="minorBidi" w:cstheme="minorBidi"/>
        </w:rPr>
        <w:t xml:space="preserve"> </w:t>
      </w:r>
      <w:r w:rsidRPr="00321BEA">
        <w:rPr>
          <w:rFonts w:asciiTheme="minorBidi" w:hAnsiTheme="minorBidi" w:cstheme="minorBidi"/>
          <w:b/>
          <w:bCs/>
        </w:rPr>
        <w:t>(</w:t>
      </w:r>
      <w:r w:rsidR="00035332" w:rsidRPr="00321BEA">
        <w:rPr>
          <w:rFonts w:asciiTheme="minorBidi" w:hAnsiTheme="minorBidi" w:cstheme="minorBidi"/>
          <w:b/>
          <w:bCs/>
        </w:rPr>
        <w:t>1</w:t>
      </w:r>
      <w:r w:rsidR="00321BEA">
        <w:rPr>
          <w:rFonts w:asciiTheme="minorBidi" w:hAnsiTheme="minorBidi" w:cstheme="minorBidi"/>
          <w:b/>
          <w:bCs/>
        </w:rPr>
        <w:t>8</w:t>
      </w:r>
      <w:r w:rsidRPr="00321BEA">
        <w:rPr>
          <w:rFonts w:asciiTheme="minorBidi" w:hAnsiTheme="minorBidi" w:cstheme="minorBidi"/>
          <w:b/>
          <w:bCs/>
          <w:vertAlign w:val="superscript"/>
        </w:rPr>
        <w:t>ême</w:t>
      </w:r>
      <w:r w:rsidRPr="00321BEA">
        <w:rPr>
          <w:rFonts w:asciiTheme="minorBidi" w:hAnsiTheme="minorBidi" w:cstheme="minorBidi"/>
        </w:rPr>
        <w:t>)</w:t>
      </w:r>
      <w:r w:rsidRPr="00530400">
        <w:rPr>
          <w:rFonts w:asciiTheme="minorBidi" w:hAnsiTheme="minorBidi" w:cstheme="minorBidi"/>
        </w:rPr>
        <w:t xml:space="preserve"> jour, soit :</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915CBF" w:rsidP="0053241F">
      <w:pPr>
        <w:jc w:val="both"/>
        <w:rPr>
          <w:rFonts w:asciiTheme="minorBidi" w:hAnsiTheme="minorBidi" w:cstheme="minorBidi"/>
          <w:sz w:val="26"/>
          <w:szCs w:val="26"/>
        </w:rPr>
      </w:pPr>
      <w:r w:rsidRPr="00915CBF">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321BEA" w:rsidRDefault="00035332" w:rsidP="00321BEA">
                  <w:pPr>
                    <w:rPr>
                      <w:b/>
                      <w:bCs/>
                      <w:sz w:val="28"/>
                      <w:szCs w:val="28"/>
                    </w:rPr>
                  </w:pPr>
                  <w:r>
                    <w:rPr>
                      <w:b/>
                      <w:bCs/>
                      <w:sz w:val="28"/>
                      <w:szCs w:val="28"/>
                    </w:rPr>
                    <w:t xml:space="preserve">           </w:t>
                  </w:r>
                  <w:r w:rsidR="0046235A" w:rsidRPr="00321BEA">
                    <w:rPr>
                      <w:b/>
                      <w:bCs/>
                      <w:sz w:val="28"/>
                      <w:szCs w:val="28"/>
                    </w:rPr>
                    <w:t xml:space="preserve">Le </w:t>
                  </w:r>
                  <w:r w:rsidR="00321BEA">
                    <w:rPr>
                      <w:b/>
                      <w:bCs/>
                      <w:sz w:val="28"/>
                      <w:szCs w:val="28"/>
                    </w:rPr>
                    <w:t>07</w:t>
                  </w:r>
                  <w:r w:rsidR="00E61A21" w:rsidRPr="00321BEA">
                    <w:rPr>
                      <w:b/>
                      <w:bCs/>
                      <w:sz w:val="28"/>
                      <w:szCs w:val="28"/>
                    </w:rPr>
                    <w:t xml:space="preserve"> </w:t>
                  </w:r>
                  <w:r w:rsidR="00321BEA">
                    <w:rPr>
                      <w:b/>
                      <w:bCs/>
                      <w:sz w:val="28"/>
                      <w:szCs w:val="28"/>
                    </w:rPr>
                    <w:t>Mai</w:t>
                  </w:r>
                  <w:r w:rsidRPr="00321BEA">
                    <w:rPr>
                      <w:b/>
                      <w:bCs/>
                      <w:sz w:val="28"/>
                      <w:szCs w:val="28"/>
                    </w:rPr>
                    <w:t xml:space="preserve"> 201</w:t>
                  </w:r>
                  <w:r w:rsidR="0007013D" w:rsidRPr="00321BEA">
                    <w:rPr>
                      <w:b/>
                      <w:bCs/>
                      <w:sz w:val="28"/>
                      <w:szCs w:val="28"/>
                    </w:rPr>
                    <w:t>7</w:t>
                  </w:r>
                  <w:r w:rsidRPr="00321BEA">
                    <w:rPr>
                      <w:b/>
                      <w:bCs/>
                      <w:sz w:val="28"/>
                      <w:szCs w:val="28"/>
                    </w:rPr>
                    <w:t xml:space="preserve"> </w:t>
                  </w:r>
                  <w:r w:rsidR="0046235A" w:rsidRPr="00321BEA">
                    <w:rPr>
                      <w:b/>
                      <w:bCs/>
                      <w:sz w:val="28"/>
                      <w:szCs w:val="28"/>
                    </w:rPr>
                    <w:t>avant  1</w:t>
                  </w:r>
                  <w:r w:rsidR="00677836" w:rsidRPr="00321BEA">
                    <w:rPr>
                      <w:b/>
                      <w:bCs/>
                      <w:sz w:val="28"/>
                      <w:szCs w:val="28"/>
                    </w:rPr>
                    <w:t>0</w:t>
                  </w:r>
                  <w:r w:rsidR="0046235A" w:rsidRPr="00321BEA">
                    <w:rPr>
                      <w:b/>
                      <w:bCs/>
                      <w:sz w:val="28"/>
                      <w:szCs w:val="28"/>
                    </w:rPr>
                    <w:t>h</w:t>
                  </w:r>
                  <w:r w:rsidR="00E61A21" w:rsidRPr="00321BEA">
                    <w:rPr>
                      <w:b/>
                      <w:bCs/>
                      <w:sz w:val="28"/>
                      <w:szCs w:val="28"/>
                    </w:rPr>
                    <w:t>0</w:t>
                  </w:r>
                  <w:r w:rsidR="0046235A" w:rsidRPr="00321BEA">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321BEA">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035332">
        <w:rPr>
          <w:rFonts w:asciiTheme="minorBidi" w:hAnsiTheme="minorBidi" w:cstheme="minorBidi"/>
          <w:u w:val="single"/>
        </w:rPr>
        <w:t>soit le</w:t>
      </w:r>
      <w:r w:rsidRPr="00530400">
        <w:rPr>
          <w:rFonts w:asciiTheme="minorBidi" w:hAnsiTheme="minorBidi" w:cstheme="minorBidi"/>
        </w:rPr>
        <w:t xml:space="preserve"> </w:t>
      </w:r>
      <w:r w:rsidR="00321BEA">
        <w:rPr>
          <w:rFonts w:asciiTheme="minorBidi" w:hAnsiTheme="minorBidi" w:cstheme="minorBidi"/>
          <w:b/>
          <w:bCs/>
        </w:rPr>
        <w:t>07 Mai</w:t>
      </w:r>
      <w:r w:rsidR="00035332" w:rsidRPr="00321BEA">
        <w:rPr>
          <w:rFonts w:asciiTheme="minorBidi" w:hAnsiTheme="minorBidi" w:cstheme="minorBidi"/>
          <w:b/>
          <w:bCs/>
        </w:rPr>
        <w:t xml:space="preserve"> 201</w:t>
      </w:r>
      <w:r w:rsidR="0007013D" w:rsidRPr="00321BEA">
        <w:rPr>
          <w:rFonts w:asciiTheme="minorBidi" w:hAnsiTheme="minorBidi" w:cstheme="minorBidi"/>
          <w:b/>
          <w:bCs/>
        </w:rPr>
        <w:t>7</w:t>
      </w:r>
      <w:r w:rsidR="00035332" w:rsidRPr="00321BEA">
        <w:rPr>
          <w:rFonts w:asciiTheme="minorBidi" w:hAnsiTheme="minorBidi" w:cstheme="minorBidi"/>
        </w:rPr>
        <w:t xml:space="preserve"> </w:t>
      </w:r>
      <w:r w:rsidRPr="00321BEA">
        <w:rPr>
          <w:rFonts w:asciiTheme="minorBidi" w:hAnsiTheme="minorBidi" w:cstheme="minorBidi"/>
        </w:rPr>
        <w:t xml:space="preserve">à </w:t>
      </w:r>
      <w:r w:rsidR="00035332" w:rsidRPr="00321BEA">
        <w:rPr>
          <w:rFonts w:asciiTheme="minorBidi" w:hAnsiTheme="minorBidi" w:cstheme="minorBidi"/>
          <w:b/>
          <w:bCs/>
          <w:u w:val="single"/>
        </w:rPr>
        <w:t>1</w:t>
      </w:r>
      <w:r w:rsidR="00321BEA">
        <w:rPr>
          <w:rFonts w:asciiTheme="minorBidi" w:hAnsiTheme="minorBidi" w:cstheme="minorBidi"/>
          <w:b/>
          <w:bCs/>
          <w:u w:val="single"/>
        </w:rPr>
        <w:t>0</w:t>
      </w:r>
      <w:r w:rsidRPr="00321BEA">
        <w:rPr>
          <w:rFonts w:asciiTheme="minorBidi" w:hAnsiTheme="minorBidi" w:cstheme="minorBidi"/>
          <w:b/>
          <w:bCs/>
          <w:u w:val="single"/>
        </w:rPr>
        <w:t>H</w:t>
      </w:r>
      <w:r w:rsidR="00035332" w:rsidRPr="00321BEA">
        <w:rPr>
          <w:rFonts w:asciiTheme="minorBidi" w:hAnsiTheme="minorBidi" w:cstheme="minorBidi"/>
          <w:b/>
          <w:bCs/>
          <w:u w:val="single"/>
        </w:rPr>
        <w:t>0</w:t>
      </w:r>
      <w:r w:rsidRPr="00321BEA">
        <w:rPr>
          <w:rFonts w:asciiTheme="minorBidi" w:hAnsiTheme="minorBidi" w:cstheme="minorBidi"/>
          <w:b/>
          <w:bCs/>
          <w:u w:val="single"/>
        </w:rPr>
        <w:t>0</w:t>
      </w:r>
      <w:r w:rsidRPr="00035332">
        <w:rPr>
          <w:rFonts w:asciiTheme="minorBidi" w:hAnsiTheme="minorBidi" w:cstheme="minorBidi"/>
          <w:color w:val="000000" w:themeColor="text1"/>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07013D">
      <w:pPr>
        <w:rPr>
          <w:rFonts w:asciiTheme="minorBidi" w:hAnsiTheme="minorBidi" w:cstheme="minorBidi"/>
          <w:b/>
          <w:bCs/>
          <w:sz w:val="32"/>
          <w:szCs w:val="32"/>
          <w:u w:val="single"/>
        </w:rPr>
      </w:pPr>
    </w:p>
    <w:p w:rsidR="00254AD0" w:rsidRPr="00F90A10" w:rsidRDefault="008F1A5B" w:rsidP="00F90A10">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F90A10" w:rsidRDefault="008F1A5B" w:rsidP="00F90A10">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F90A10" w:rsidRDefault="000B2FCF"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F90A10" w:rsidRDefault="00890C23" w:rsidP="00F90A10">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F90A10" w:rsidRDefault="00254AD0" w:rsidP="00F90A10">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Default="00EC2F38"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w:t>
      </w:r>
      <w:r w:rsidR="00F90A10">
        <w:rPr>
          <w:rFonts w:asciiTheme="minorBidi" w:hAnsiTheme="minorBidi" w:cstheme="minorBidi"/>
        </w:rPr>
        <w:t>nomiquement la plus avantageuse</w:t>
      </w:r>
    </w:p>
    <w:p w:rsidR="00F90A10" w:rsidRPr="00530400" w:rsidRDefault="00F90A10" w:rsidP="00F90A10">
      <w:pPr>
        <w:widowControl w:val="0"/>
        <w:autoSpaceDE w:val="0"/>
        <w:autoSpaceDN w:val="0"/>
        <w:adjustRightInd w:val="0"/>
        <w:jc w:val="both"/>
        <w:rPr>
          <w:rFonts w:asciiTheme="minorBidi" w:hAnsiTheme="minorBidi" w:cstheme="minorBidi"/>
        </w:rPr>
      </w:pPr>
    </w:p>
    <w:p w:rsidR="00592CC7" w:rsidRDefault="00F90A10" w:rsidP="00F90A10">
      <w:pPr>
        <w:ind w:left="680"/>
        <w:jc w:val="right"/>
        <w:rPr>
          <w:rFonts w:asciiTheme="minorBidi" w:hAnsiTheme="minorBidi" w:cstheme="minorBidi"/>
        </w:rPr>
      </w:pPr>
      <w:r>
        <w:rPr>
          <w:rFonts w:asciiTheme="minorBidi" w:hAnsiTheme="minorBidi" w:cstheme="minorBidi"/>
        </w:rPr>
        <w:t xml:space="preserve"> </w:t>
      </w:r>
      <w:r w:rsidR="00592CC7" w:rsidRPr="00530400">
        <w:rPr>
          <w:rFonts w:asciiTheme="minorBidi" w:hAnsiTheme="minorBidi" w:cstheme="minorBidi"/>
        </w:rPr>
        <w:t>Fait à ……………………le :……………….</w:t>
      </w:r>
    </w:p>
    <w:p w:rsidR="00F90A10" w:rsidRPr="00F90A10" w:rsidRDefault="00F90A10" w:rsidP="00F90A10">
      <w:pPr>
        <w:ind w:left="680"/>
        <w:jc w:val="right"/>
        <w:rPr>
          <w:rFonts w:asciiTheme="minorBidi" w:hAnsiTheme="minorBidi" w:cstheme="minorBidi"/>
        </w:rPr>
      </w:pP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F90A10">
        <w:rPr>
          <w:rFonts w:asciiTheme="minorBidi" w:hAnsiTheme="minorBidi" w:cstheme="minorBidi"/>
          <w:b/>
          <w:bCs/>
        </w:rPr>
        <w:t xml:space="preserve">                                   </w:t>
      </w:r>
      <w:r w:rsidRPr="00530400">
        <w:rPr>
          <w:rFonts w:asciiTheme="minorBidi" w:hAnsiTheme="minorBidi" w:cstheme="minorBidi"/>
          <w:b/>
          <w:bCs/>
        </w:rPr>
        <w:t>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F90A10">
        <w:rPr>
          <w:rFonts w:asciiTheme="minorBidi" w:hAnsiTheme="minorBidi" w:cstheme="minorBidi"/>
          <w:sz w:val="20"/>
          <w:szCs w:val="20"/>
        </w:rPr>
        <w:t xml:space="preserve">                            </w:t>
      </w:r>
      <w:r w:rsidR="00F90A10">
        <w:rPr>
          <w:rFonts w:asciiTheme="minorBidi" w:hAnsiTheme="minorBidi" w:cstheme="minorBidi"/>
          <w:sz w:val="20"/>
          <w:szCs w:val="20"/>
        </w:rPr>
        <w:tab/>
      </w:r>
      <w:r w:rsidR="00F90A10">
        <w:rPr>
          <w:rFonts w:asciiTheme="minorBidi" w:hAnsiTheme="minorBidi" w:cstheme="minorBidi"/>
          <w:sz w:val="20"/>
          <w:szCs w:val="20"/>
        </w:rPr>
        <w:tab/>
        <w:t xml:space="preserve">     </w:t>
      </w:r>
      <w:r w:rsidRPr="00530400">
        <w:rPr>
          <w:rFonts w:asciiTheme="minorBidi" w:hAnsiTheme="minorBidi" w:cstheme="minorBidi"/>
          <w:sz w:val="20"/>
          <w:szCs w:val="20"/>
        </w:rPr>
        <w:t>(Nom, Prénom, Qualité et caché)</w:t>
      </w:r>
    </w:p>
    <w:p w:rsidR="003F7F07" w:rsidRPr="00F90A10" w:rsidRDefault="00592CC7" w:rsidP="00F90A10">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F90A10">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Pr="00530400">
        <w:rPr>
          <w:rFonts w:asciiTheme="minorBidi" w:hAnsiTheme="minorBidi" w:cstheme="minorBidi"/>
          <w:sz w:val="20"/>
          <w:szCs w:val="20"/>
        </w:rPr>
        <w:t xml:space="preserve">Lu et approuvé </w:t>
      </w:r>
    </w:p>
    <w:sectPr w:rsidR="003F7F07" w:rsidRPr="00F90A10"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ABA" w:rsidRDefault="00800ABA">
      <w:r>
        <w:separator/>
      </w:r>
    </w:p>
  </w:endnote>
  <w:endnote w:type="continuationSeparator" w:id="1">
    <w:p w:rsidR="00800ABA" w:rsidRDefault="00800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915CBF"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915CBF">
    <w:pPr>
      <w:pStyle w:val="Pieddepage"/>
      <w:jc w:val="center"/>
    </w:pPr>
    <w:fldSimple w:instr=" PAGE   \* MERGEFORMAT ">
      <w:r w:rsidR="00321BEA">
        <w:rPr>
          <w:noProof/>
        </w:rPr>
        <w:t>- 11 -</w:t>
      </w:r>
    </w:fldSimple>
  </w:p>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ABA" w:rsidRDefault="00800ABA">
      <w:r>
        <w:separator/>
      </w:r>
    </w:p>
  </w:footnote>
  <w:footnote w:type="continuationSeparator" w:id="1">
    <w:p w:rsidR="00800ABA" w:rsidRDefault="00800ABA">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0178"/>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332"/>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2259"/>
    <w:rsid w:val="000625BF"/>
    <w:rsid w:val="00062808"/>
    <w:rsid w:val="00066445"/>
    <w:rsid w:val="00066E17"/>
    <w:rsid w:val="00067459"/>
    <w:rsid w:val="00067972"/>
    <w:rsid w:val="00067EA2"/>
    <w:rsid w:val="0007013D"/>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4E54"/>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2EB3"/>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1BEA"/>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3F07"/>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D01"/>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430"/>
    <w:rsid w:val="00596768"/>
    <w:rsid w:val="005967F5"/>
    <w:rsid w:val="00596894"/>
    <w:rsid w:val="00596CA1"/>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5211"/>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836"/>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6AF"/>
    <w:rsid w:val="00781B71"/>
    <w:rsid w:val="00781F2D"/>
    <w:rsid w:val="00783312"/>
    <w:rsid w:val="007863F8"/>
    <w:rsid w:val="00786E9F"/>
    <w:rsid w:val="00787C7E"/>
    <w:rsid w:val="007905B8"/>
    <w:rsid w:val="00793288"/>
    <w:rsid w:val="00795EDB"/>
    <w:rsid w:val="00796E2F"/>
    <w:rsid w:val="007973E7"/>
    <w:rsid w:val="007A0223"/>
    <w:rsid w:val="007A19AF"/>
    <w:rsid w:val="007A23BC"/>
    <w:rsid w:val="007A2C3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ABA"/>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26C"/>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2D85"/>
    <w:rsid w:val="008D318E"/>
    <w:rsid w:val="008D4290"/>
    <w:rsid w:val="008D45E6"/>
    <w:rsid w:val="008D4A3F"/>
    <w:rsid w:val="008D4A6C"/>
    <w:rsid w:val="008D584A"/>
    <w:rsid w:val="008D71CE"/>
    <w:rsid w:val="008E1C43"/>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046EF"/>
    <w:rsid w:val="00910874"/>
    <w:rsid w:val="00911935"/>
    <w:rsid w:val="00913462"/>
    <w:rsid w:val="0091434B"/>
    <w:rsid w:val="00914C4E"/>
    <w:rsid w:val="0091572D"/>
    <w:rsid w:val="00915C55"/>
    <w:rsid w:val="00915CBF"/>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63DB"/>
    <w:rsid w:val="009673EA"/>
    <w:rsid w:val="0097071E"/>
    <w:rsid w:val="009708BD"/>
    <w:rsid w:val="00970FFD"/>
    <w:rsid w:val="00972007"/>
    <w:rsid w:val="009723A0"/>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693"/>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1650"/>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957"/>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1A21"/>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5940"/>
    <w:rsid w:val="00E8718B"/>
    <w:rsid w:val="00E875A5"/>
    <w:rsid w:val="00E90800"/>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0A10"/>
    <w:rsid w:val="00F91612"/>
    <w:rsid w:val="00F9301B"/>
    <w:rsid w:val="00F93B44"/>
    <w:rsid w:val="00F93D85"/>
    <w:rsid w:val="00F946ED"/>
    <w:rsid w:val="00F94DBA"/>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4510</Words>
  <Characters>24805</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29257</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57</cp:revision>
  <cp:lastPrinted>2016-05-04T14:43:00Z</cp:lastPrinted>
  <dcterms:created xsi:type="dcterms:W3CDTF">2016-04-12T09:10:00Z</dcterms:created>
  <dcterms:modified xsi:type="dcterms:W3CDTF">2017-04-19T11:31:00Z</dcterms:modified>
</cp:coreProperties>
</file>